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仿宋_GB2312" w:eastAsia="仿宋_GB2312" w:cs="仿宋_GB2312"/>
          <w:b/>
          <w:bCs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44"/>
          <w:lang w:val="en-US" w:eastAsia="zh-CN"/>
        </w:rPr>
        <w:t>授权委托书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委托人根据《中华人民共和国民事诉讼法》的有关规定，委托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（公民身份号码：                     ）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为代理人，代表委托人参加贵州巷诺旅游开发有限责任公司破产重整债权申报。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委托人授予代理人的代理权限如下：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（1）代为申报债权；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（2）代为签署、签收债权申报材料的相关法律文书。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本授权委托书有效期限至债权申报终结时止。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委托人：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YWJiMjJlNzAzZGNlMGMwMWI2NmU5ZjRmMjFlYTkifQ=="/>
  </w:docVars>
  <w:rsids>
    <w:rsidRoot w:val="58104397"/>
    <w:rsid w:val="07613C23"/>
    <w:rsid w:val="5810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2024-05-22T02:46:00Z</dcterms:created>
  <dc:creator>岑先生</dc:creator>
  <cp:lastModifiedBy>岑先生</cp:lastModifiedBy>
  <cp:lastPrinted>2024-05-22T07:43:23Z</cp:lastPrinted>
  <dcterms:modified xsi:type="dcterms:W3CDTF">2024-05-22T07:52:33Z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94AD13F7F7714123853BE01E505FEB54_13</vt:lpwstr>
  </property>
</Properties>
</file>