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C971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</w:rPr>
        <w:t>贵州省绿色网络文化工作室</w:t>
      </w:r>
    </w:p>
    <w:p w14:paraId="7A99C53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仿宋_GB2312" w:cs="仿宋_GB2312"/>
          <w:b w:val="0"/>
          <w:color w:val="auto"/>
          <w:spacing w:val="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</w:rPr>
        <w:t>评选管理办法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  <w:t>（试行）</w:t>
      </w:r>
    </w:p>
    <w:bookmarkEnd w:id="0"/>
    <w:p w14:paraId="56E788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6DA6987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总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则</w:t>
      </w:r>
    </w:p>
    <w:p w14:paraId="253749A4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Times New Roman" w:hAnsi="Times New Roman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</w:p>
    <w:p w14:paraId="77270D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第一条</w:t>
      </w:r>
      <w:r>
        <w:rPr>
          <w:rFonts w:hint="eastAsia" w:ascii="Times New Roman" w:hAnsi="Times New Roman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为贯彻落实党的二十大精神，贯彻落实中央和省委关于加强网络文明建设的部署要求，发展积极健康的网络文化，丰富优质网络文化产品供给，充分发挥全省网络文化企业（单位）和新媒体团队在网络文化作品创作生产、主题策划、宣传引导等方面的积极作用，推动全省网络文化事业和网络文化产业繁荣发展，在全省开展贵州省绿色网络文化工作室评选管理工作，特制定本办法。</w:t>
      </w:r>
    </w:p>
    <w:p w14:paraId="38B7627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第二条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 xml:space="preserve">  本办法适用于在贵州省范围内从事网络文化作品创作生产、专题策划、传播宣传等方面的单位、部门、企业、团队（以下简称申报单位）。</w:t>
      </w:r>
    </w:p>
    <w:p w14:paraId="448BBF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第三条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 xml:space="preserve">  贵州省绿色网络文化工作室（以下简称“工作室”）的申报和评选管理坚持自愿和公开、公正、公平的原则。以习近平新时代中国特色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社会主义思想特别是习近平总书记关于网络强国的重要思想为指导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val="en-US" w:eastAsia="zh-CN"/>
        </w:rPr>
        <w:t>，增强“四个意识”，坚定“四个自信”，做到“两个维护”，以培育和践行社会主义核心价值观，营造风清气正的良好网络生态环境为根本，</w:t>
      </w:r>
      <w:r>
        <w:rPr>
          <w:rFonts w:hint="eastAsia" w:ascii="Times New Roman" w:hAnsi="Times New Roman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以培育积极健康、向上向善的网络文化为目标，不断繁荣发展贵州网络文化事业和文化产业，为建设清朗网络空间，谱写多彩贵州现代化建设新篇章贡献力量。</w:t>
      </w:r>
    </w:p>
    <w:p w14:paraId="2509E3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13CB510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  <w:t>申报条件</w:t>
      </w:r>
    </w:p>
    <w:p w14:paraId="5BE08A8C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70" w:lineRule="exact"/>
        <w:jc w:val="both"/>
        <w:textAlignment w:val="auto"/>
        <w:rPr>
          <w:rFonts w:ascii="Times New Roman" w:hAnsi="Times New Roman"/>
          <w:sz w:val="32"/>
          <w:szCs w:val="32"/>
          <w:highlight w:val="none"/>
        </w:rPr>
      </w:pPr>
    </w:p>
    <w:p w14:paraId="420DBD7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第四条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申报单位须严格遵守中华人民共和国相关法律法规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须严格遵守《互联网信息服务管理办法》等互联网行业相关规定。</w:t>
      </w:r>
    </w:p>
    <w:p w14:paraId="4212A07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第五条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 xml:space="preserve">  申报单位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须为独立法人的单位或企业，或有所属独立法人的部门或团队。申报单位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须具有一定规模，成立运营时间一年以上，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有专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职从业人员5人以上。</w:t>
      </w:r>
    </w:p>
    <w:p w14:paraId="56995C1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第六条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 xml:space="preserve">  申报单位具有较强的网络内容策划生产能力、传播力和引导力，主动参与清朗网络空间建设，在业界具有一定影响力或发展潜力。</w:t>
      </w:r>
    </w:p>
    <w:p w14:paraId="6400E72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第七条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凡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>申报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开始前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12个月内发生下列情形之一的（同时参照当年的申报评选通知），不得参加工作室申报。</w:t>
      </w:r>
    </w:p>
    <w:p w14:paraId="387295D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（一）发生重大意识形态事件、网络意识形态事件、网络安全事件；</w:t>
      </w:r>
    </w:p>
    <w:p w14:paraId="5E1194D7"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70" w:lineRule="exact"/>
        <w:ind w:firstLine="68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>单位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主要负责人违纪违法，受到党纪处分的；</w:t>
      </w:r>
    </w:p>
    <w:p w14:paraId="3ACBA533"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70" w:lineRule="exact"/>
        <w:ind w:firstLine="68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（三）内部违法犯罪被追究刑事责任的；</w:t>
      </w:r>
    </w:p>
    <w:p w14:paraId="35AF2D9F"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70" w:lineRule="exact"/>
        <w:ind w:firstLine="68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（四）单位或单位法人被列为失信联合惩戒对象或被列入严重失信违法“黑名单”；</w:t>
      </w:r>
    </w:p>
    <w:p w14:paraId="41A00C77"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70" w:lineRule="exact"/>
        <w:ind w:firstLine="68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（五）发生重大舆情事件；</w:t>
      </w:r>
    </w:p>
    <w:p w14:paraId="2F6E5ADE"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70" w:lineRule="exact"/>
        <w:ind w:firstLine="68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（六）发生弄虚作假、骗取荣誉的；</w:t>
      </w:r>
    </w:p>
    <w:p w14:paraId="3B29122B"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70" w:lineRule="exact"/>
        <w:ind w:firstLine="680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（七）其他严重影响单位声誉、导致不良负面效应的事件。</w:t>
      </w:r>
    </w:p>
    <w:p w14:paraId="5DFE847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eastAsia="zh-CN"/>
        </w:rPr>
      </w:pPr>
    </w:p>
    <w:p w14:paraId="6B2F8A4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Times New Roman" w:hAnsi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eastAsia="zh-CN"/>
        </w:rPr>
        <w:t>第三章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  <w:t>申报和评选</w:t>
      </w:r>
    </w:p>
    <w:p w14:paraId="20788BB2"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70" w:lineRule="exact"/>
        <w:textAlignment w:val="auto"/>
        <w:rPr>
          <w:rFonts w:ascii="Times New Roman" w:hAnsi="Times New Roman"/>
          <w:sz w:val="32"/>
          <w:szCs w:val="32"/>
          <w:highlight w:val="none"/>
        </w:rPr>
      </w:pPr>
    </w:p>
    <w:p w14:paraId="73FDB4E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第八条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 xml:space="preserve">  工作室每年申报评选一次，原则上于每年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7月至9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开展申报评选工作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根据申报当年度工作实绩情况，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原则上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评选出该年度贵州省绿色网络文化工作室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共20个，评选数具体以该年度经费情况作适当调整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。</w:t>
      </w:r>
    </w:p>
    <w:p w14:paraId="3A02E3E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第九条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 xml:space="preserve">  申报和评选不向申报单位收取任何费用。</w:t>
      </w:r>
    </w:p>
    <w:p w14:paraId="2E3EA76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highlight w:val="none"/>
          <w:u w:val="thick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第十条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申报单位在网上自愿申报，如实填写《贵州省绿色网络文化工作室评选申报表》，按要求提供基本情况、原创网络文化作品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网络主题策划案例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、网络宣传引导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等相关申报材料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，经相关部门审核盖章后提交申报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。经初审通过后，按要求参加现场评审，进行申报阐述和评审答疑。</w:t>
      </w:r>
    </w:p>
    <w:p w14:paraId="64AF217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第十一条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网络文化作品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和网络主题策划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案例包括但不限于以下形式：网络文字、图片、音频、视频、动漫（漫画）、VR、H5、网络专题活动等网络作品形式。</w:t>
      </w:r>
    </w:p>
    <w:p w14:paraId="0572C6A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第十二条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组织省内外行业专家和相关部门负责同志组成评审专家组，对申报单位进行初审和现场评审会评审打分。评审打分标准另行制定。</w:t>
      </w:r>
    </w:p>
    <w:p w14:paraId="0723546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第十三条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为确保工作规范有效，严格执行如下的申报评选工作流程。</w:t>
      </w:r>
    </w:p>
    <w:p w14:paraId="50707D8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（一）发布公告。在省内主要新闻媒体公开发布申报评选公告。</w:t>
      </w:r>
    </w:p>
    <w:p w14:paraId="14307C1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（二）网上报名。申报单位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通过网络下载申报表，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在规定时间将申报表及相关评审材料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电子版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报送至省委网信办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指定邮箱，纸质盖章件邮寄至省委网信办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。</w:t>
      </w:r>
    </w:p>
    <w:p w14:paraId="2990EB6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highlight w:val="none"/>
          <w:u w:val="thick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（三）资格初审。评审专家组对申报材料进行初审。</w:t>
      </w:r>
    </w:p>
    <w:p w14:paraId="3FCD242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（四）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专家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评审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组织评审专家组召开现场评审会，申报单位逐一进行现场阐述和答疑，评审专家组进行综合评审打分。</w:t>
      </w:r>
    </w:p>
    <w:p w14:paraId="107B7D6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（五）部门审核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省委网信办会商省委宣传部、省委统战部、省精神文明办、省总工会、团省委、省妇联等部门，参照专家评审结果进行统筹审核。</w:t>
      </w:r>
    </w:p>
    <w:p w14:paraId="6810706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）公示。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审核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结果在省内主要新闻媒体公示，公示期为5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天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。公示期内有异议的可向省委网信办反映。如有被取消评选资格的，顺延增补后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重新公示。</w:t>
      </w:r>
    </w:p>
    <w:p w14:paraId="517E2B8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命名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授牌。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公示无异议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贵州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省委网信办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、贵州省委宣传部、贵州省委统战部、贵州省精神文明办、贵州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省总工会、共青团贵州省委、贵州省妇联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共同予以命名，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颁发牌匾。</w:t>
      </w:r>
    </w:p>
    <w:p w14:paraId="7DFF599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</w:pPr>
    </w:p>
    <w:p w14:paraId="694362A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  <w:t xml:space="preserve">第四章 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eastAsia="zh-CN"/>
        </w:rPr>
        <w:t>管理和激励</w:t>
      </w:r>
    </w:p>
    <w:p w14:paraId="5E04F27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仿宋_GB2312" w:cs="黑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 xml:space="preserve">  </w:t>
      </w:r>
    </w:p>
    <w:p w14:paraId="077204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eastAsia="zh-CN"/>
        </w:rPr>
        <w:t>第十四条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工作室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所属法人单位对其具有管理主体责任。工作室开展网络文化相关工作，接受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省委网信办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、省委宣传部、省委统战部、省精神文明办、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省总工会、团省委、省妇联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统筹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指导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74CEF4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eastAsia="zh-CN"/>
        </w:rPr>
        <w:t>第十五条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根据贵州省网信管理专项资金安排，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采用政府购买服务方式委托第三方承担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工作室的宣传报道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申报评选、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组织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专家评审、牌匾制作、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座谈培训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服务管理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工作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给予相应的工作经费补助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对获评的每个工作室给予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万元发展经费扶持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扶持经费由省委网信办直接划拨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给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工作室。</w:t>
      </w:r>
    </w:p>
    <w:p w14:paraId="66A2D07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第十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仿宋_GB2312" w:cs="黑体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工作室或工作室突出带头人在申报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>道德模范、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文明单位、五一劳动奖章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>、工人先锋号、青年五四奖章、青年文明号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>三八红旗手等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评先表彰和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申报有关专项资金、基金等政策项目时，在同等条件下，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网信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、宣传、统战、精神文明办、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工会、团委、妇联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等系统予以优先考虑。网信、统战等部门在有关人选的安排使用时，向相关部门推荐工作室突出带头人。</w:t>
      </w:r>
    </w:p>
    <w:p w14:paraId="3AD4177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第十七条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组织新闻媒体对工作室品牌建设开展宣传报道，对优秀团队、先进个人的典型事迹和优秀网络文化精品进行提炼总结、广泛宣传。</w:t>
      </w:r>
    </w:p>
    <w:p w14:paraId="387948F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第十八条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鼓励全省各地对涉及网络文化领域等方面的公共服务项目，同等条件下优先向工作室购买。</w:t>
      </w:r>
    </w:p>
    <w:p w14:paraId="66C9B1D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第十九条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组织历年获评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工作室开展学习培训、交流座谈等，培育提升工作室业务能力和水平。</w:t>
      </w:r>
    </w:p>
    <w:p w14:paraId="6AB7B44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二十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仿宋_GB2312" w:cs="黑体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接受全社会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对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工作室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监督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建议、举报等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实行动态管理。凡发生第二章第七条情形之一或</w:t>
      </w:r>
      <w:r>
        <w:rPr>
          <w:rFonts w:hint="eastAsia" w:ascii="Times New Roman" w:hAnsi="Times New Roman" w:eastAsia="仿宋_GB2312" w:cs="黑体"/>
          <w:color w:val="auto"/>
          <w:sz w:val="32"/>
          <w:szCs w:val="32"/>
          <w:highlight w:val="none"/>
          <w:lang w:eastAsia="zh-CN"/>
        </w:rPr>
        <w:t>对“贵州省绿色网络文明工作室”品牌</w:t>
      </w:r>
      <w:r>
        <w:rPr>
          <w:rFonts w:hint="eastAsia" w:ascii="Times New Roman" w:hAnsi="Times New Roman" w:eastAsia="仿宋_GB2312" w:cs="黑体"/>
          <w:color w:val="auto"/>
          <w:sz w:val="32"/>
          <w:szCs w:val="32"/>
          <w:highlight w:val="none"/>
        </w:rPr>
        <w:t>滥用、歪曲、夸大宣传等不正当行为</w:t>
      </w:r>
      <w:r>
        <w:rPr>
          <w:rFonts w:hint="eastAsia" w:ascii="Times New Roman" w:hAnsi="Times New Roman" w:eastAsia="仿宋_GB2312" w:cs="黑体"/>
          <w:color w:val="auto"/>
          <w:sz w:val="32"/>
          <w:szCs w:val="32"/>
          <w:highlight w:val="none"/>
          <w:lang w:eastAsia="zh-CN"/>
        </w:rPr>
        <w:t>，以及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出现政治导向严重错误和重大偏差的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、工作室破产、解散或消亡的和其他不宜保留工作室名称的，视情况采取通报批评、限期整改或撤销其工作室称号、收回牌匾。</w:t>
      </w:r>
    </w:p>
    <w:p w14:paraId="6502A5A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</w:pPr>
    </w:p>
    <w:p w14:paraId="76B66BC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Times New Roman" w:hAnsi="Times New Roman" w:eastAsia="黑体" w:cs="黑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  <w:t>章  附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  <w:t>则</w:t>
      </w:r>
    </w:p>
    <w:p w14:paraId="0AE3FB8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textAlignment w:val="auto"/>
        <w:rPr>
          <w:rFonts w:ascii="Times New Roman" w:hAnsi="Times New Roman" w:eastAsia="黑体" w:cs="仿宋_GB2312"/>
          <w:color w:val="auto"/>
          <w:sz w:val="32"/>
          <w:szCs w:val="32"/>
          <w:highlight w:val="none"/>
        </w:rPr>
      </w:pPr>
    </w:p>
    <w:p w14:paraId="0BCC44F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二十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 xml:space="preserve">  本办法由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贵州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省委网信办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、贵州省委宣传部、贵州省委统战部、贵州省精神文明办、贵州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省总工会、共青团贵州省委、贵州省妇联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制定，并负责解释。</w:t>
      </w:r>
    </w:p>
    <w:p w14:paraId="45C42EB1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0" w:lineRule="exact"/>
        <w:ind w:right="0"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第二十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 xml:space="preserve">  本办法自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印发之日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起施行。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原贵州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省委网信办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、贵州省委宣传部、贵州省委统战部、贵州省精神文明办、贵州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省总工会、共青团贵州省委、贵州省妇联2020年发布的《贵州省绿色网络文化工作室评选管理暂行办法》同时废止。</w:t>
      </w:r>
    </w:p>
    <w:p w14:paraId="7CD6D86F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40" w:lineRule="exact"/>
        <w:ind w:right="0"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28C2D8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haroni">
    <w:altName w:val="Times New Roman"/>
    <w:panose1 w:val="02010803020104030203"/>
    <w:charset w:val="00"/>
    <w:family w:val="auto"/>
    <w:pitch w:val="default"/>
    <w:sig w:usb0="00000000" w:usb1="00000000" w:usb2="00000000" w:usb3="00000000" w:csb0="00000020" w:csb1="002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78A4C1"/>
    <w:multiLevelType w:val="singleLevel"/>
    <w:tmpl w:val="2B78A4C1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33FF2D54"/>
    <w:multiLevelType w:val="singleLevel"/>
    <w:tmpl w:val="33FF2D54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NWRiZWYxODc0MGJjN2VkMDc3ZGJkYWZlNjNlMzMifQ=="/>
  </w:docVars>
  <w:rsids>
    <w:rsidRoot w:val="3AC3777B"/>
    <w:rsid w:val="3AC3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next w:val="4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4">
    <w:name w:val="正文-公1"/>
    <w:basedOn w:val="5"/>
    <w:next w:val="3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">
    <w:name w:val="正文 New New New"/>
    <w:next w:val="4"/>
    <w:qFormat/>
    <w:uiPriority w:val="0"/>
    <w:pPr>
      <w:jc w:val="both"/>
    </w:pPr>
    <w:rPr>
      <w:rFonts w:ascii="Times New Roman" w:hAnsi="Times New Roman" w:eastAsia="宋体" w:cs="Aharoni"/>
      <w:kern w:val="1"/>
      <w:sz w:val="21"/>
      <w:szCs w:val="22"/>
      <w:lang w:val="en-US" w:eastAsia="zh-CN" w:bidi="ar-SA"/>
    </w:rPr>
  </w:style>
  <w:style w:type="paragraph" w:customStyle="1" w:styleId="8">
    <w:name w:val="标题 Char Char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2024-08-15T05:08:00Z</dcterms:created>
  <dc:creator>罗亚楠</dc:creator>
  <cp:lastModifiedBy>罗亚楠</cp:lastModifiedBy>
  <dcterms:modified xsi:type="dcterms:W3CDTF">2024-08-15T05:09:25Z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F8F01F476FAD46958E8041836ED06087_11</vt:lpwstr>
  </property>
</Properties>
</file>